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208395" cy="52371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532350"/>
                          <a:ext cx="6179820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Acid Dosage                                                 SCH4U Chemistry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208395" cy="523717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8395" cy="523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410"/>
        <w:gridCol w:w="5670"/>
        <w:tblGridChange w:id="0">
          <w:tblGrid>
            <w:gridCol w:w="1560"/>
            <w:gridCol w:w="2410"/>
            <w:gridCol w:w="5670"/>
          </w:tblGrid>
        </w:tblGridChange>
      </w:tblGrid>
      <w:t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Overall Expectations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Specific Expectations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A1. Demonstrate scientific investigation skills (related to both inquiry and research) in the four areas of skills (initiating and planning, performing and recording, analysing and interpreting, and communicating)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E2.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Investigate qualitative and quantitative properties of solutions, and solve related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Formulate relevant scientific questions about observed relationships, ideas, problems, or issues, make informed predictions, and/or formulated educated hypotheses to focus inquiries or research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A1.2 Select appropriate instruments (e.g., sampling instruments, a microscope, a stethoscope, dissection instruments) and materials (e.g., dichotomous keys, computer simulations, plant cuttings), and identify appropriate methods, techniques, and procedures, for each inquiry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Synthesize, analyse, interpret, and evaluate quantitative and/or qualitative data; solve problems involving quantitative data; determine whether the evidence supports or refutes the initial prediction or hypothesis and whether it is consistent with scientific theory; identify sources of bias and error; and suggest improvements to the inquiry to reduce the likelihood of error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A1.12 Use appropriate numeric, symbolic, and graphic modes of representation (e.g., biological diagrams, Punnett squares), and appropriate units of measurements (e.g., SI and imperial units) </w:t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A1.11 Communicate ideas, plans, procedures, results, and conclusions orally, in writing, and/or in electronic presentations, using appropriate language and a variety of formats (e.g., data tables, laboratory reports, presentations, debates, simulations, models)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E2.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Solve problems related to the concentration of solutions by performing calculations involving moles, and express the results in various units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E2.7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Determine the concentration of an acid or a base in a solution using the acid-base technique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gridSpan w:val="3"/>
            <w:shd w:fill="d9e2f3" w:val="clea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Concepts</w:t>
            </w:r>
          </w:p>
        </w:tc>
      </w:tr>
      <w:tr>
        <w:trPr>
          <w:trHeight w:val="324" w:hRule="atLeast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Terminology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Theory</w:t>
            </w:r>
          </w:p>
        </w:tc>
      </w:tr>
      <w:tr>
        <w:trPr>
          <w:trHeight w:val="75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Coagulation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6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6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6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 molecule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8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3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3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4" w:right="0" w:hanging="3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acid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7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Material to prepare </w:t>
            </w:r>
          </w:p>
        </w:tc>
      </w:tr>
      <w:tr>
        <w:trPr>
          <w:trHeight w:val="414" w:hRule="atLeast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19.0" w:type="dxa"/>
              <w:jc w:val="left"/>
              <w:tblLayout w:type="fixed"/>
              <w:tblLook w:val="0400"/>
            </w:tblPr>
            <w:tblGrid>
              <w:gridCol w:w="9519"/>
              <w:tblGridChange w:id="0">
                <w:tblGrid>
                  <w:gridCol w:w="9519"/>
                </w:tblGrid>
              </w:tblGridChange>
            </w:tblGrid>
            <w:t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Context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48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Cop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of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activit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48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Cop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 of assessment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gr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Activit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y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96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Computer for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research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planning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96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Material according to the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types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of 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valuation offered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9075.0" w:type="dxa"/>
                    <w:jc w:val="left"/>
                    <w:tblInd w:w="333.0" w:type="dxa"/>
                    <w:tblLayout w:type="fixed"/>
                    <w:tblLook w:val="0400"/>
                  </w:tblPr>
                  <w:tblGrid>
                    <w:gridCol w:w="4653"/>
                    <w:gridCol w:w="4422"/>
                    <w:tblGridChange w:id="0">
                      <w:tblGrid>
                        <w:gridCol w:w="4653"/>
                        <w:gridCol w:w="4422"/>
                      </w:tblGrid>
                    </w:tblGridChange>
                  </w:tblGrid>
                  <w:tr>
                    <w:tc>
                      <w:tcPr>
                        <w:tc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fill="f2f2f2" w:val="clear"/>
                      </w:tcPr>
                      <w:p w:rsidR="00000000" w:rsidDel="00000000" w:rsidP="00000000" w:rsidRDefault="00000000" w:rsidRPr="00000000" w14:paraId="00000038">
                        <w:pPr>
                          <w:rPr/>
                        </w:pP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Equipment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fill="f2f2f2" w:val="clear"/>
                      </w:tcPr>
                      <w:p w:rsidR="00000000" w:rsidDel="00000000" w:rsidP="00000000" w:rsidRDefault="00000000" w:rsidRPr="00000000" w14:paraId="00000039">
                        <w:pPr>
                          <w:rPr/>
                        </w:pPr>
                        <w:r w:rsidDel="00000000" w:rsidR="00000000" w:rsidRPr="00000000">
                          <w:rPr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P</w:t>
                        </w: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ris</w:t>
                        </w: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h</w:t>
                        </w:r>
                        <w:r w:rsidDel="00000000" w:rsidR="00000000" w:rsidRPr="00000000">
                          <w:rPr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able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tcBorders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fill="ffffff" w:val="clear"/>
                      </w:tcPr>
                      <w:p w:rsidR="00000000" w:rsidDel="00000000" w:rsidP="00000000" w:rsidRDefault="00000000" w:rsidRPr="00000000" w14:paraId="0000003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25 mL burette</w:t>
                        </w:r>
                      </w:p>
                      <w:p w:rsidR="00000000" w:rsidDel="00000000" w:rsidP="00000000" w:rsidRDefault="00000000" w:rsidRPr="00000000" w14:paraId="0000003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Burette holder </w:t>
                        </w:r>
                      </w:p>
                      <w:p w:rsidR="00000000" w:rsidDel="00000000" w:rsidP="00000000" w:rsidRDefault="00000000" w:rsidRPr="00000000" w14:paraId="0000003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Universal holder</w:t>
                        </w:r>
                      </w:p>
                      <w:p w:rsidR="00000000" w:rsidDel="00000000" w:rsidP="00000000" w:rsidRDefault="00000000" w:rsidRPr="00000000" w14:paraId="0000003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 25 mL volumetric pipette and a sampling device</w:t>
                        </w:r>
                      </w:p>
                      <w:p w:rsidR="00000000" w:rsidDel="00000000" w:rsidP="00000000" w:rsidRDefault="00000000" w:rsidRPr="00000000" w14:paraId="0000003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</w:t>
                        </w:r>
                        <w:r w:rsidDel="00000000" w:rsidR="00000000" w:rsidRPr="00000000"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tl w:val="0"/>
                          </w:rPr>
                          <w:t xml:space="preserve">Magnetic stirrer and its magnetic bar</w:t>
                        </w:r>
                      </w:p>
                      <w:p w:rsidR="00000000" w:rsidDel="00000000" w:rsidP="00000000" w:rsidRDefault="00000000" w:rsidRPr="00000000" w14:paraId="0000003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2 beakers or Erlenmeyer flasks </w:t>
                        </w:r>
                      </w:p>
                      <w:p w:rsidR="00000000" w:rsidDel="00000000" w:rsidP="00000000" w:rsidRDefault="00000000" w:rsidRPr="00000000" w14:paraId="00000040">
                        <w:pPr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Beaker labelled </w:t>
                        </w:r>
                        <w:r w:rsidDel="00000000" w:rsidR="00000000" w:rsidRPr="00000000"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  <w:rtl w:val="0"/>
                          </w:rPr>
                          <w:t xml:space="preserve">“</w:t>
                        </w:r>
                        <w:r w:rsidDel="00000000" w:rsidR="00000000" w:rsidRPr="00000000">
                          <w:rPr>
                            <w:rtl w:val="0"/>
                          </w:rPr>
                          <w:t xml:space="preserve">waste”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bottom w:color="000000" w:space="0" w:sz="8" w:val="single"/>
                          <w:right w:color="000000" w:space="0" w:sz="8" w:val="single"/>
                        </w:tcBorders>
                        <w:shd w:fill="ffffff" w:val="clear"/>
                      </w:tcPr>
                      <w:p w:rsidR="00000000" w:rsidDel="00000000" w:rsidP="00000000" w:rsidRDefault="00000000" w:rsidRPr="00000000" w14:paraId="0000004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Phenolphthalein (1% solution in 95% ethanol)</w:t>
                        </w:r>
                        <w:r w:rsidDel="00000000" w:rsidR="00000000" w:rsidRPr="00000000"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2">
                        <w:pPr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Bromothymol blue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20 mL fresh milk</w:t>
                        </w:r>
                      </w:p>
                      <w:p w:rsidR="00000000" w:rsidDel="00000000" w:rsidP="00000000" w:rsidRDefault="00000000" w:rsidRPr="00000000" w14:paraId="00000044">
                        <w:pPr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20 mL fresh cheese or plain yogurt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Sodium hydroxide solution 0.05 mol/L</w:t>
                        </w:r>
                      </w:p>
                      <w:p w:rsidR="00000000" w:rsidDel="00000000" w:rsidP="00000000" w:rsidRDefault="00000000" w:rsidRPr="00000000" w14:paraId="0000004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Sodium hydroxide solution 0.25 mol/L</w:t>
                        </w:r>
                      </w:p>
                      <w:p w:rsidR="00000000" w:rsidDel="00000000" w:rsidP="00000000" w:rsidRDefault="00000000" w:rsidRPr="00000000" w14:paraId="00000047">
                        <w:pPr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 Distilled water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– Graduated cylinder.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96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Mat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ri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 to push further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02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Molecular m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od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ls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902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Computer for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analys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is and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r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ports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7" w:hRule="atLeast"/>
        </w:trPr>
        <w:tc>
          <w:tcPr>
            <w:gridSpan w:val="3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steps of cheese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production: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curdling enzyme action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Raw materials to make cheese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sentation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of assignment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4" w:hRule="atLeast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students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lab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document_acid dosage)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Pushing further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molecular models, construct the two enantiomers of the lactic acid molecule.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Redo a titration by changing the number of drops of phenolphthalein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drops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drops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Is this number of drops sufficient to spot the change in coloration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predictions about the Dornic degree of yogurt and fresh cheese. Have the students write a protocol and experiment to verify their predictions.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Carry out the same dosage but with a pH meter.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902" w:right="0" w:hanging="29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mmative: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the material and method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902" w:right="0" w:hanging="29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mmative: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lab 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lab 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 supplier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raw formula of lactic acid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; pK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Ionic product of water 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°C : 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-14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89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masses: C : 12g/mol; O : 16 g/mol; H : 1g/mol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Déterminer le degré Dornic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https://portail.stpaul4.ac-reunion.fr/wordpress/cgenial/2015/10/31/determination-du-degre-dornic-dun-yaourt-a-boire/?ticket=</w:t>
              </w:r>
            </w:hyperlink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Détermination de l’acidité du lait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http://lplagrangemaths.free.fr/Sciences/cours/Bac_Pro/HS/HS5/HS51_TP_N%B02_Acidite_d_un_lait.pdf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Le lait manipulation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https://www2.ulb.ac.be/sciences/cudec/LaitManip2.html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Du lait au yogourt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http://physiquechimie-ea.ensfea.fr/wp-content/uploads/sites/10/2018/05/p22-47-projet-lait-BTS-PA-papier.pd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18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6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7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62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8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link w:val="Titre4Car"/>
    <w:uiPriority w:val="9"/>
    <w:qFormat w:val="1"/>
    <w:rsid w:val="00A04924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lledutableau">
    <w:name w:val="Table Grid"/>
    <w:basedOn w:val="TableauNormal"/>
    <w:uiPriority w:val="39"/>
    <w:rsid w:val="004352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sinterligne">
    <w:name w:val="No Spacing"/>
    <w:uiPriority w:val="1"/>
    <w:qFormat w:val="1"/>
    <w:rsid w:val="00A75081"/>
  </w:style>
  <w:style w:type="character" w:styleId="Titre4Car" w:customStyle="1">
    <w:name w:val="Titre 4 Car"/>
    <w:basedOn w:val="Policepardfaut"/>
    <w:link w:val="Titre4"/>
    <w:uiPriority w:val="9"/>
    <w:rsid w:val="00A04924"/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 w:val="1"/>
    <w:rsid w:val="006145A3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E412F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8360E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8360E9"/>
  </w:style>
  <w:style w:type="paragraph" w:styleId="Pieddepage">
    <w:name w:val="footer"/>
    <w:basedOn w:val="Normal"/>
    <w:link w:val="PieddepageCar"/>
    <w:uiPriority w:val="99"/>
    <w:unhideWhenUsed w:val="1"/>
    <w:rsid w:val="008360E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360E9"/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x-scope" w:customStyle="1">
    <w:name w:val="x-scope"/>
    <w:basedOn w:val="Normal"/>
    <w:rsid w:val="00F62B2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qowt-font6-arialnarrow" w:customStyle="1">
    <w:name w:val="qowt-font6-arialnarrow"/>
    <w:basedOn w:val="Policepardfaut"/>
    <w:rsid w:val="00F62B20"/>
  </w:style>
  <w:style w:type="paragraph" w:styleId="qowt-li-10" w:customStyle="1">
    <w:name w:val="qowt-li-1_0"/>
    <w:basedOn w:val="Normal"/>
    <w:rsid w:val="00F62B2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qowt-li-21" w:customStyle="1">
    <w:name w:val="qowt-li-2_1"/>
    <w:basedOn w:val="Normal"/>
    <w:rsid w:val="00F62B2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qowt-li-20" w:customStyle="1">
    <w:name w:val="qowt-li-2_0"/>
    <w:basedOn w:val="Normal"/>
    <w:rsid w:val="00F62B2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qowt-font4-arial" w:customStyle="1">
    <w:name w:val="qowt-font4-arial"/>
    <w:basedOn w:val="Policepardfaut"/>
    <w:rsid w:val="00F62B20"/>
  </w:style>
  <w:style w:type="character" w:styleId="qowt-font5-arialnarrow" w:customStyle="1">
    <w:name w:val="qowt-font5-arialnarrow"/>
    <w:basedOn w:val="Policepardfaut"/>
    <w:rsid w:val="002806AA"/>
  </w:style>
  <w:style w:type="paragraph" w:styleId="qowt-li-60" w:customStyle="1">
    <w:name w:val="qowt-li-6_0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qowt-li-70" w:customStyle="1">
    <w:name w:val="qowt-li-7_0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qowt-font3-arial" w:customStyle="1">
    <w:name w:val="qowt-font3-arial"/>
    <w:basedOn w:val="Policepardfaut"/>
    <w:rsid w:val="002806AA"/>
  </w:style>
  <w:style w:type="paragraph" w:styleId="qowt-li-50" w:customStyle="1">
    <w:name w:val="qowt-li-5_0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qowt-li-30" w:customStyle="1">
    <w:name w:val="qowt-li-3_0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2806AA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2806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2806AA"/>
    <w:rPr>
      <w:vertAlign w:val="superscript"/>
    </w:rPr>
  </w:style>
  <w:style w:type="paragraph" w:styleId="qowt-li-80" w:customStyle="1">
    <w:name w:val="qowt-li-8_0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qowt-font1-calibri" w:customStyle="1">
    <w:name w:val="qowt-font1-calibri"/>
    <w:basedOn w:val="Policepardfaut"/>
    <w:rsid w:val="002806AA"/>
  </w:style>
  <w:style w:type="paragraph" w:styleId="qowt-li-40" w:customStyle="1">
    <w:name w:val="qowt-li-4_0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qowt-li-41" w:customStyle="1">
    <w:name w:val="qowt-li-4_1"/>
    <w:basedOn w:val="Normal"/>
    <w:rsid w:val="002806AA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plagrangemaths.free.fr/Sciences/cours/Bac_Pro/HS/HS5/HS51_TP_N%B02_Acidite_d_un_lait.pdf" TargetMode="External"/><Relationship Id="rId10" Type="http://schemas.openxmlformats.org/officeDocument/2006/relationships/hyperlink" Target="http://lplagrangemaths.free.fr/Sciences/cours/Bac_Pro/HS/HS5/HS51_TP_N%B02_Acidite_d_un_lait.pdf" TargetMode="External"/><Relationship Id="rId13" Type="http://schemas.openxmlformats.org/officeDocument/2006/relationships/hyperlink" Target="https://www2.ulb.ac.be/sciences/cudec/LaitManip2.html" TargetMode="External"/><Relationship Id="rId12" Type="http://schemas.openxmlformats.org/officeDocument/2006/relationships/hyperlink" Target="https://www2.ulb.ac.be/sciences/cudec/LaitManip2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rtail.stpaul4.ac-reunion.fr/wordpress/cgenial/2015/10/31/determination-du-degre-dornic-dun-yaourt-a-boire/?ticket=" TargetMode="External"/><Relationship Id="rId15" Type="http://schemas.openxmlformats.org/officeDocument/2006/relationships/hyperlink" Target="http://physiquechimie-ea.ensfea.fr/wp-content/uploads/sites/10/2018/05/p22-47-projet-lait-BTS-PA-papier.pdf" TargetMode="External"/><Relationship Id="rId14" Type="http://schemas.openxmlformats.org/officeDocument/2006/relationships/hyperlink" Target="http://physiquechimie-ea.ensfea.fr/wp-content/uploads/sites/10/2018/05/p22-47-projet-lait-BTS-PA-papier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ortail.stpaul4.ac-reunion.fr/wordpress/cgenial/2015/10/31/determination-du-degre-dornic-dun-yaourt-a-boire/?ticket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5+cSLqdHfR1ga9RqiV5FYr+xA==">AMUW2mVCjN1pRq3f2yxAJE3C8qZS5PDCFjB+/kxGmPVyPia8Q1DUmYgtA8eGSz6P0F8xrSikXBQ71Mny+I3FF1exeB8F0VcRAPhAHrutlZAEEch394mmb4PbzHlRok5qXyt2bPTVz7GZ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2021-04-15T16:35:00Z</dcterms:created>
  <dc:creator>%username%</dc:creator>
</cp:coreProperties>
</file>