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1577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to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7    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HFA4U/4C Nutrition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15772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5157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5"/>
        <w:gridCol w:w="6075"/>
        <w:tblGridChange w:id="0">
          <w:tblGrid>
            <w:gridCol w:w="1560"/>
            <w:gridCol w:w="2415"/>
            <w:gridCol w:w="60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prepare and present food products in a variety of ways.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B2. Serve customers in a professional manner in an appropriate environment.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 apply appropriate management principles and practices to plan and execute an event or activity.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B1.1 interpret recipes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B1.2 identify recipes that meet specific needs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D1.4 take sanitary precautions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use measurement tools and equipment to accurately measure the volume and mass of food products in metric, US customary, or British imperial units as appropriate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B1.6 use different cutting techniques adapted to given culinary preparations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B1.4 use a variety of flavours to enhance the taste of foods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B1.4 present food products in different types of service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B2.5 adhere to table service standards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B3.1 identify various food service types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B4.1 create an action plan for staging an event or activity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B4.3 demonstrate appropriate planning, organizational, and time management skills when managing an event or activity</w:t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B4.6 use appropriate mathematical skills to accurately calculate the actual cost and revenues of an event or activity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Flav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Texture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Terroir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Tool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Customer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rinciples of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effective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communication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Food handling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techniques 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Scenario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to look up recipes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and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ngr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dients for selected recipes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Tools to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execute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recipes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analys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</w:t>
            </w:r>
          </w:p>
        </w:tc>
      </w:tr>
      <w:tr>
        <w:trPr>
          <w:trHeight w:val="315" w:hRule="atLeast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Work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You must prepare a catered reception with local cheese as the star ingredient. You can choose between a reception for a parent-teacher meeting, a reception for a career day or a reception for graduation.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You must prepare at least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different courses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 more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according to the number of people in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brigade)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 the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 grid for the important criteria that must be met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Target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client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(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tastes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nutritional needs)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sence of star ingredient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armon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between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courses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Nutritional value for each course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 the class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into work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brigades.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Choose which reception to prepare.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the theme for the courses. Select the recipes. Get recipes approved. Each student must present a different dish.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_Work planning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 the selected recipe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and serve the dishes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850.3937007874017" w:hanging="280.39370078740177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Analyze the characteristics of the various ingredients used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850.3937007874017" w:hanging="283.4645669291342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Prepare an analysis report for individual work, brigade work and cheese served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–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feedback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 – recipe 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earch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and planning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see Sheets 2 and 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Report s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 P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– A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nalys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Self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 grid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ypes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of cheese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animation (La Cité)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yellow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highlight w:val="yellow"/>
                  <w:u w:val="none"/>
                  <w:vertAlign w:val="baseline"/>
                  <w:rtl w:val="0"/>
                </w:rPr>
                <w:t xml:space="preserve">Comment lire une étiquette 30 secondes top-chrono  </w:t>
              </w:r>
            </w:hyperlink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yellow"/>
                  <w:u w:val="none"/>
                  <w:vertAlign w:val="baselin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highlight w:val="yellow"/>
                  <w:u w:val="single"/>
                  <w:vertAlign w:val="baseline"/>
                  <w:rtl w:val="0"/>
                </w:rPr>
                <w:t xml:space="preserve">https://sciencefourchette.com/science/lire-etiquette-nutritionnelle-30-secondes-top-chrono/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u w:val="none"/>
                <w:rtl w:val="0"/>
              </w:rPr>
              <w:t xml:space="preserve">How to read the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nutrition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u w:val="none"/>
                <w:rtl w:val="0"/>
              </w:rPr>
              <w:t xml:space="preserve"> facts label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https://www.soscuisine.com/blog/how-to-read-nutrition-facts-label/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u w:val="none"/>
                <w:rtl w:val="0"/>
              </w:rPr>
              <w:t xml:space="preserve">What is dairy processing?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https://www.dpac-atlc.ca/what-is-dairy-processing/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https://www.saputo.com/en/our-company/history-overview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Fromage CDA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https://fromagescda.com/en/3-products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highlight w:val="yellow"/>
                  <w:u w:val="none"/>
                  <w:vertAlign w:val="baseline"/>
                  <w:rtl w:val="0"/>
                </w:rPr>
                <w:t xml:space="preserve">ABC des saveurs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( </w:t>
            </w: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highlight w:val="yellow"/>
                  <w:u w:val="single"/>
                  <w:vertAlign w:val="baseline"/>
                  <w:rtl w:val="0"/>
                </w:rPr>
                <w:t xml:space="preserve">https://abcsaveurs.weebly.com/cours-2-les-moleacutecules.html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Canad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a’s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 Food Guide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https://food-guide.canada.ca/en/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Cheese lovers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List of cheese shops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https://cheeselover.ca/index.php/shops/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firstLine="0"/>
              <w:jc w:val="left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bookmarkStart w:colFirst="0" w:colLast="0" w:name="_heading=h.19ou1lbrjj3m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50.3937007874017" w:hanging="28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17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0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bcsaveurs.weebly.com/cours-2-les-moleacutecules.html" TargetMode="External"/><Relationship Id="rId11" Type="http://schemas.openxmlformats.org/officeDocument/2006/relationships/hyperlink" Target="https://www.soscuisine.com/blog/comment-lire-le-tableau-de-valeur-nutritive/?lang=fr" TargetMode="External"/><Relationship Id="rId22" Type="http://schemas.openxmlformats.org/officeDocument/2006/relationships/hyperlink" Target="https://food-guide.canada.ca/en/" TargetMode="External"/><Relationship Id="rId10" Type="http://schemas.openxmlformats.org/officeDocument/2006/relationships/hyperlink" Target="https://sciencefourchette.com/science/lire-etiquette-nutritionnelle-30-secondes-top-chrono/" TargetMode="External"/><Relationship Id="rId21" Type="http://schemas.openxmlformats.org/officeDocument/2006/relationships/hyperlink" Target="https://guide-alimentaire.canada.ca/fr/" TargetMode="External"/><Relationship Id="rId13" Type="http://schemas.openxmlformats.org/officeDocument/2006/relationships/hyperlink" Target="http://www.atlc-dpac.ca/quest-ce-que-la-transformation-laitiere/la-transformation-laitiere-cest-mon-industrie/" TargetMode="External"/><Relationship Id="rId24" Type="http://schemas.openxmlformats.org/officeDocument/2006/relationships/hyperlink" Target="https://cheeselover.ca/index.php/shops/" TargetMode="External"/><Relationship Id="rId12" Type="http://schemas.openxmlformats.org/officeDocument/2006/relationships/hyperlink" Target="https://www.soscuisine.com/blog/how-to-read-nutrition-facts-label/" TargetMode="External"/><Relationship Id="rId23" Type="http://schemas.openxmlformats.org/officeDocument/2006/relationships/hyperlink" Target="https://cheeselover.ca/index.php/shop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ncefourchette.com/science/lire-etiquette-nutritionnelle-30-secondes-top-chrono/" TargetMode="External"/><Relationship Id="rId15" Type="http://schemas.openxmlformats.org/officeDocument/2006/relationships/hyperlink" Target="https://www.saputo.com/fr-ca/notre-societe/historique" TargetMode="External"/><Relationship Id="rId14" Type="http://schemas.openxmlformats.org/officeDocument/2006/relationships/hyperlink" Target="https://www.dpac-atlc.ca/what-is-dairy-processing/" TargetMode="External"/><Relationship Id="rId17" Type="http://schemas.openxmlformats.org/officeDocument/2006/relationships/hyperlink" Target="https://fromagescda.com/en/3-products" TargetMode="External"/><Relationship Id="rId16" Type="http://schemas.openxmlformats.org/officeDocument/2006/relationships/hyperlink" Target="https://www.saputo.com/en/our-company/history-overview" TargetMode="External"/><Relationship Id="rId5" Type="http://schemas.openxmlformats.org/officeDocument/2006/relationships/styles" Target="styles.xml"/><Relationship Id="rId19" Type="http://schemas.openxmlformats.org/officeDocument/2006/relationships/hyperlink" Target="https://abcsaveurs.weebly.com/cours-2-les-moleacutecules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fromagescda.com/en/3-products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sciencefourchette.com/science/lire-etiquette-nutritionnelle-30-secondes-top-chron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236D7veEENRbExTTK14oSLMbg==">AMUW2mUNa09DtWN5h7b8FGbk9BcKHEXgTVJKGzy5ztIEOEp8aBrfP1MRu3DtinsdMpIQvtPjXRxU3JJJIXZCUskq713W7ZY6T2jYJkMiOUiF0qSgk7FB5f7NtJZFaywRzakNVrWp6+7OR7KmxM7UaNAFm+piNnXnqw==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2020-08-04T14:11:00Z</dcterms:created>
  <dc:creator>%username%</dc:creator>
</cp:coreProperties>
</file>